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BD8E3">
      <w:pPr>
        <w:keepNext w:val="0"/>
        <w:keepLines w:val="0"/>
        <w:pageBreakBefore w:val="0"/>
        <w:widowControl w:val="0"/>
        <w:kinsoku/>
        <w:wordWrap/>
        <w:overflowPunct/>
        <w:topLinePunct w:val="0"/>
        <w:autoSpaceDE/>
        <w:autoSpaceDN/>
        <w:bidi w:val="0"/>
        <w:adjustRightInd/>
        <w:snapToGrid/>
        <w:spacing w:line="360" w:lineRule="auto"/>
        <w:ind w:firstLine="723" w:firstLineChars="200"/>
        <w:jc w:val="center"/>
        <w:textAlignment w:val="auto"/>
        <w:rPr>
          <w:rFonts w:hint="eastAsia" w:ascii="宋体" w:hAnsi="宋体" w:eastAsia="宋体" w:cs="宋体"/>
          <w:b/>
          <w:bCs/>
          <w:sz w:val="36"/>
          <w:szCs w:val="36"/>
        </w:rPr>
      </w:pPr>
      <w:r>
        <w:rPr>
          <w:rFonts w:hint="eastAsia" w:ascii="宋体" w:hAnsi="宋体" w:eastAsia="宋体" w:cs="宋体"/>
          <w:b/>
          <w:bCs/>
          <w:sz w:val="36"/>
          <w:szCs w:val="36"/>
        </w:rPr>
        <w:t>2026年度上海市哲学社会科学规划项目</w:t>
      </w:r>
    </w:p>
    <w:p w14:paraId="3F566FC8">
      <w:pPr>
        <w:keepNext w:val="0"/>
        <w:keepLines w:val="0"/>
        <w:pageBreakBefore w:val="0"/>
        <w:widowControl w:val="0"/>
        <w:kinsoku/>
        <w:wordWrap/>
        <w:overflowPunct/>
        <w:topLinePunct w:val="0"/>
        <w:autoSpaceDE/>
        <w:autoSpaceDN/>
        <w:bidi w:val="0"/>
        <w:adjustRightInd/>
        <w:snapToGrid/>
        <w:spacing w:line="360" w:lineRule="auto"/>
        <w:ind w:firstLine="723" w:firstLineChars="200"/>
        <w:jc w:val="center"/>
        <w:textAlignment w:val="auto"/>
        <w:rPr>
          <w:rFonts w:hint="eastAsia" w:ascii="宋体" w:hAnsi="宋体" w:eastAsia="宋体" w:cs="宋体"/>
          <w:b/>
          <w:bCs/>
          <w:sz w:val="36"/>
          <w:szCs w:val="36"/>
        </w:rPr>
      </w:pPr>
      <w:bookmarkStart w:id="0" w:name="_GoBack"/>
      <w:bookmarkEnd w:id="0"/>
      <w:r>
        <w:rPr>
          <w:rFonts w:hint="eastAsia" w:ascii="宋体" w:hAnsi="宋体" w:eastAsia="宋体" w:cs="宋体"/>
          <w:b/>
          <w:bCs/>
          <w:sz w:val="36"/>
          <w:szCs w:val="36"/>
        </w:rPr>
        <w:t>重点选题方向</w:t>
      </w:r>
    </w:p>
    <w:p w14:paraId="33AAB0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注：选题方向只明确研究主题和范围导向，申请人须结合自身学术专长，目标导向与自由探索相结合，从不同学科领域、不同学术视角自拟题目，设计研究方案和调研计划，细化研究问题进行申报。</w:t>
      </w:r>
    </w:p>
    <w:p w14:paraId="68D24CD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一、习近平新时代中国特色社会主义思想体系化学理化研究</w:t>
      </w:r>
    </w:p>
    <w:p w14:paraId="120484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习近平总书记考察上海重要讲话精神和对上海工作重要指示要求，“四个放在”政治要求研究，习近平总书记关于基础研究重要论述，习近平总书记关于人工智能重要论述，习近平总书记关于城市工作重要论述，习近平总书记关于哲学社会科学高质量发展重要论述，习近平总书记关于服务业发展重要论述，习近平总书记关于未来产业重要论述，新时代党的创新理论国际传播与影响力提升等。</w:t>
      </w:r>
    </w:p>
    <w:p w14:paraId="6078C93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专题1：习近平党建思想与上海实践研究</w:t>
      </w:r>
    </w:p>
    <w:p w14:paraId="52F608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习近平党建思想的重大意义及其原理性成果、原创性贡献研究，习近平党建思想的精髓要义、实践基础与理论渊源研究，习近平党建思想对人类政治文明发展进步和政党建设的世界意义研究，习近平党建思想与推进党的自我革命研究，习近平党建思想与伟大建党精神传承和践行研究，习近平总书记对上海城市基层党建重要指示精神与新时代实践创新研究，党建引领超大城市基层治理现代化的上海实践研究，上海健全全面从严治党体系实践研究，超大城市新兴领域党建高质量发展研究等。</w:t>
      </w:r>
    </w:p>
    <w:p w14:paraId="5FCAE1D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二、上海推进中国式现代化建设的生动实践与案例研究</w:t>
      </w:r>
    </w:p>
    <w:p w14:paraId="1D8E17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海在推进中国式现代化中充分发挥龙头带动和示范引领作用的理论逻辑、实践逻辑、制度逻辑，国家重大战略牵引与“五个中心”建设整体联动，城市核心功能提升与推动经济高质量发展，全过程人民民主融入城市治理现代化，上海新质生产力培育与现代化产业体系构建研究，文商旅体展联动与国际消费中心城市建设，生产性服务业发展与打造“上海服务”品牌，全球供应链管理与航贸数字化，国际商事争议解决高地建设与制度引领，企业全生命周期服务与提高营商环境质量，园区规模化集约化与产业生态培育，企业主导的产学研用深度融合，浦东引领区制度型开放与首创性改革，开发区管理制度改革与园区集约化发展研究，一体推进教育科技人才体制机制改革，推动区域协调发展与促进共同富裕，统筹高质量发展和高水平安全，超大城市经济社会发展全面绿色转型等。</w:t>
      </w:r>
    </w:p>
    <w:p w14:paraId="4E336CA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专题2：深化上海“五个中心”建设研究</w:t>
      </w:r>
    </w:p>
    <w:p w14:paraId="595FAC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海“五个中心”建设协同与整体效应研究，加快推进上海（长三角）国际科技创新中心建设研究，上海经济转型升级与增强经济韧性研究，上海深化离岸金融发展研究，科技金融服务与耐心资本培育研究，科技金融与绿色金融协同发展研究，自贸试验区优化布局与国际贸易中心提质升级研究，深化内外贸一体化研究，上海推动航运物流降本提质增效研究，上海推动服务业优质高效发展研究，以高端化、绿色化、智能化产业需求牵引科技创新研究等。</w:t>
      </w:r>
    </w:p>
    <w:p w14:paraId="5F085CE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专题3：高水平制度型开放研究</w:t>
      </w:r>
    </w:p>
    <w:p w14:paraId="62568C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规则、规制、管理、标准等制度型开放的上海实践与国际经验比较研究，对接国际高标准经贸规则重点领域与先行先试研究，服务业扩大开放综合试点制度创新与风险防控研究，数字贸易、跨境服务贸易领域国际规则衔接研究，航贸数字化体系化推进与全球供应链管理研究，东方枢纽国际商务合作区与自贸试验区、临港新片区的制度协同研究，虹桥国际开放枢纽服务辐射能级提升研究，重点产业检测认证结果国际互认研究，外商投资促进制度体系的优化与国际经验借鉴研究等。</w:t>
      </w:r>
    </w:p>
    <w:p w14:paraId="527E661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三、上海推动基础研究与国际科创中心建设研究</w:t>
      </w:r>
    </w:p>
    <w:p w14:paraId="144C04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海加强基础研究的战略布局与先行区建设，上海基础研究“选人选题”机制改革与完善长周期支持体系，上海率先探索基础研究工作评价体系创新，基础研究力量协同与新型研发机构发展，体系化推动概念验证、中试放大与高质量孵化器建设，上海未来产业培育与颠覆性技术布局，全生命周期科技金融服务体系与高风险长周期融资机制，上海（长三角）国际科技创新中心央地共建与跨区域协同，上海融入全球创新网络与基础研究国际合作，上海代表国家参与国际大科学计划和大科学工程、提升全球科技治理话语权。</w:t>
      </w:r>
    </w:p>
    <w:p w14:paraId="0AA1928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四、超大城市治理现代化与高质量发展研究</w:t>
      </w:r>
    </w:p>
    <w:p w14:paraId="1AB73F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人民城市理念与加快推动超大城市治理现代化，全过程人民民主与治理共同体建设，提升城市治理科学化、精细化、智能化水平，城市数字化转型与智慧城市建设，“三所联动”“多格合一”与深化城市基层治理，“一网通办”“一网统管”与治理效能提升，乡村全面振兴与超大城市城乡融合发展，全面依法治市与法治上海建设，国际消费中心城市建设与消费新场景培育，全球供应链管理与大宗商品资源配置，上海国资国企改革与国有经济布局优化，上海民营经济高质量发展，超大城市创新创业生态与人才高地建设，促进就业与社会保障体系完善等。</w:t>
      </w:r>
    </w:p>
    <w:p w14:paraId="1312053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专题4：上海城市更新与治理创新研究</w:t>
      </w:r>
    </w:p>
    <w:p w14:paraId="5EB4BC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超大城市创新治理手段、治理模式、治理理念研究，超大城市可持续更新政策体系与实施机制研究，提升城区功能品质与促进产城融合、职住平衡研究，老旧小区、城中村及不成套住房改造实践研究，超大城市存量空间优化利用研究，城市资源盘活与低效用地再开发研究，城市更新中的风貌保护与功能提升研究，超大城市生物多样性与保护野生动植物研究，人口结构变化背景下教育、医疗等公共服务供给优化研究，社会治理重心下移与为基层减负增能研究，基层法治与多元纠纷化解机制研究，家庭家教家风建设在基层治理中作用发挥研究，党建引领物业治理研究，韧性安全城市建设与城市安全风险防控研究等。</w:t>
      </w:r>
    </w:p>
    <w:p w14:paraId="75766EC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五、国情市情调研与实践案例研究</w:t>
      </w:r>
    </w:p>
    <w:p w14:paraId="596226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优化市场化、法治化、国际化一流营商环境建设，高成长企业全生命周期服务需求调研，高端服务业发展需求调研与提升国际竞争力研究，先进制造业与现代服务业深度融合研究，以需求为牵引推进服务消费优化供给研究，应用开发、成果转化创新链条，国家战略科技力量与上海新型研发机构协同，提升科技创新公共平台服务能级和效用研究，东方枢纽国际商务合作区政策设计和功能创新需求调研，城市产业工人队伍建设研究等。</w:t>
      </w:r>
    </w:p>
    <w:p w14:paraId="0CD3270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专题5：长三角一体化发展调查研究</w:t>
      </w:r>
    </w:p>
    <w:p w14:paraId="5413B0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长三角创新联合体建设调查研究，长三角生态绿色一体化发展示范区功能提升调查研究，长三角世界级产业集群培育与产业链安全调查研究，长三角服务全国统一大市场深化要素市场化配置调查研究，长三角航贸数字化平台跨区域扩围提质放量调查研究，长三角新型能源体系与绿色交通协同发展调查研究，长三角跨行政区毗邻地区高质量协同发展调查研究，G60科创走廊与沿沪宁产业创新带建设调查研究，虹桥国际开放枢纽辐射能级提升与联动发展调查研究等。</w:t>
      </w:r>
    </w:p>
    <w:p w14:paraId="079DB0B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六、学术发展与创新研究</w:t>
      </w:r>
    </w:p>
    <w:p w14:paraId="1786AF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中国共产党党史、新中国史、改革开放史、社会主义发展史，马克思主义哲学、政治经济学、科学社会主义与国际共产主义运动、中共党史党建学，中国文化史、学术史和思想史，中华民族历史观与铸牢中华民族共同体意识研究，考古学、古文字学、濒危语言、艺术史等领域研究，中国古代文学史料与文学思潮，中外文学理论比较研究，重要历史文化史料文献整理研究，哲学社会科学数据治理研究，大众学术传播与哲学社会科学知识普及，大中小学思想政治教育一体化建设，哲学社会科学各学科领域基础理论、学科史、方法论、前沿问题，各学科理论联系实际的研究等。</w:t>
      </w:r>
    </w:p>
    <w:p w14:paraId="742A430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专题6：中国哲学社会科学自主知识体系研究</w:t>
      </w:r>
    </w:p>
    <w:p w14:paraId="25EB0E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中国特色哲学社会科学学科体系、学术体系、话语体系、教材体系建设研究，各学科构建自主知识体系的原创性概念、命题和理论研究，纪检监察学、国家安全学、人文经济学研究，中国特色社会主义宗教理论研究，文明学、古典学、边疆学、青年学、老年学、城市学、文化遗产学研究，考古学、古文字学、濒危语言、艺术史等领域研究，战略性新兴学科、交叉学科自主知识体系研究，加快构建世界中国学自主知识体系与中国国际话语权提升研究，打造融通中外的自主知识体系新概念新范畴新表述研究，上海哲学社会科学发展与学术史梳理研究，深化哲学社会科学实验室组织模式、评价体系和资源配置机制改革研究，推进哲学社会科学学术评价改革研究等。</w:t>
      </w:r>
    </w:p>
    <w:p w14:paraId="1370CE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七、中华优秀传统文化与世界文明研究</w:t>
      </w:r>
    </w:p>
    <w:p w14:paraId="32FE72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马克思主义基本原理同中国具体实际相结合、同中华优秀传统文化相结合，中国历史文化，中华文明的起源与发展，中华文明特质和形态研究，中华文明标识体系，中华优秀传统文化、革命文化、社会主义先进文化蕴含的思想观念、人民精神、道德规范研究，古代国家形态与国家治理，古代文明起源，人类文明演进历程，世界历史发展规律，世界文明多样性，全人类共同价值，文明传承和创新，中外文明比较和跨文明比较，文明交流互鉴和文明对话等。</w:t>
      </w:r>
    </w:p>
    <w:p w14:paraId="773BA3A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专题7：建设习近平文化思想最佳实践地研究</w:t>
      </w:r>
    </w:p>
    <w:p w14:paraId="4F3E94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党的诞生地红色文化资源保护、传承与活化利用研究，红色文化、海派文化、江南文化创新研究，提升文化软实力与打响上海文化品牌研究，文化事业与文化产业繁荣发展研究，历史文化保护利用传承与文脉延续研究，红色场馆联动协同与叙事能力提升研究，科技考古赋能历史文化资源挖掘保护利用研究，新生代受众媒介需求与主流媒体系统性变革研究，上海电影经济发展与人才培养、场景培育、传播效能提升研究，上海红色旅游、红色题材开发与品牌打造研究，上海加快推进AI赋能网络视听高质量发展研究，数智文艺创新发展研究，文化出海与国际传播能力建设研究，加快构建中国话语和中国叙事体系研究等。</w:t>
      </w:r>
    </w:p>
    <w:p w14:paraId="3AF6389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八、区域国别研究</w:t>
      </w:r>
    </w:p>
    <w:p w14:paraId="014D81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全球发展倡议、全球安全倡议、全球文明倡议、全球治理倡议，全球格局与国际秩序演变，大国关系动态跟踪研判和主动谋划运筹，重点国家战略性系统性研究，全球南方现代化发展与国家治理，全球节点城市研究，国际战略问题演进与跟踪研究，世界各国、各区域和国际组织跨学科研究，“一国”“一域”精准研判研究，全球主权债务治理与改革，国内外区域国别学文献编纂与数据档案整理研究，区域国别研究的知识转化与应用等。</w:t>
      </w:r>
    </w:p>
    <w:p w14:paraId="544FDD0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专题8：完善企业走出去与上海海外综合服务体系研究</w:t>
      </w:r>
    </w:p>
    <w:p w14:paraId="576F34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带一路”沿线国家法律环境与经贸规则研究，共建“一带一路”中规则标准“软联通”研究，国际商事纠纷解决与上海国际商事能力建设研究，企业出海与供应链韧性和安全互动关系研究，上海服务企业出海专业服务能力提升与海外综合服务体系完善研究，企业全球化经营能力与境外风险治理体系研究，对外发展融资体系的结构、绩效与风险治理研究，面向国际组织输送高层次人才研究等。</w:t>
      </w:r>
    </w:p>
    <w:p w14:paraId="72006F7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sz w:val="24"/>
          <w:szCs w:val="24"/>
        </w:rPr>
      </w:pPr>
      <w:r>
        <w:rPr>
          <w:rFonts w:hint="eastAsia" w:ascii="宋体" w:hAnsi="宋体" w:eastAsia="宋体" w:cs="宋体"/>
          <w:b/>
          <w:bCs/>
          <w:sz w:val="24"/>
          <w:szCs w:val="24"/>
        </w:rPr>
        <w:t>专题9：涉外法治与上海高端法律服务业研究</w:t>
      </w:r>
    </w:p>
    <w:p w14:paraId="50E5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海涉外法治建设与法律服务能力提升研究，涉外法律服务网络布局与拓展研究，上海国际法律服务枢纽建设与优化涉外法律服务研究，涉外商事争议多元化解决机制研究，企业出海合规风险识别与法律防范研究，上海在涉外法治领域参与国际规则制定、提升国际话语权研究，浦东新区涉外法治领域立法创新研究，北外滩国际法律服务枢纽功能提升研究，涉外法治人才引育研究等。</w:t>
      </w:r>
    </w:p>
    <w:p w14:paraId="4D0BF54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九、前沿领域与交叉研究</w:t>
      </w:r>
    </w:p>
    <w:p w14:paraId="27ADE5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数智技术对社会结构、生活方式、行为能力影响，前沿技术创新发展中的新兴法律问题，数智时代中国青年价值引领，数智社会的劳动方式革新与劳动治理转型，具身智能与未来产业发展，青年发展型城市建设与青年人才集聚，交叉学科建设与拔尖创新人才培养，哲学社会科学与自然科学交叉融合，科学智能与科研范式变革等。</w:t>
      </w:r>
    </w:p>
    <w:p w14:paraId="766B506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专题10：上海人工智能发展与治理研究</w:t>
      </w:r>
    </w:p>
    <w:p w14:paraId="62FFB9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人工智能发展和治理创新研究，生成式人工智能的价值观对齐研究，人工智能对就业与收入分配影响研究，人工智能发展政策制度、法律法规和治理规范研究，人工智能价值链战略竞争与治理研究，人工智能伦理、数据安全与算法治理研究，人工智能驱动哲学社会科学研究范式转变研究，哲学社会科学研究向人机协同模式转变研究，人工智能时代哲学社会科学科研伦理准则研究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064B0"/>
    <w:rsid w:val="75D32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1870</Words>
  <Characters>1873</Characters>
  <Lines>0</Lines>
  <Paragraphs>0</Paragraphs>
  <TotalTime>4</TotalTime>
  <ScaleCrop>false</ScaleCrop>
  <LinksUpToDate>false</LinksUpToDate>
  <CharactersWithSpaces>1873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2026-10-16T12:18:00Z</dcterms:created>
  <dc:creator>11560</dc:creator>
  <cp:lastModifiedBy>文</cp:lastModifiedBy>
  <dcterms:modified xsi:type="dcterms:W3CDTF">2026-10-16T12:59:26Z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eyJoZGlkIjoiM2M2ZmM4YTNhMTJlMGRlNTA5ODY4ZGYxZmIzMjZlMWIiLCJ1c2VySWQiOiI3MDgwMzUxNDgifQ==</vt:lpwstr>
  </property>
  <property fmtid="{D5CDD505-2E9C-101B-9397-08002B2CF9AE}" pid="4" name="ICV">
    <vt:lpwstr>EC5B8109F39E43DAA92A69091A37F412_12</vt:lpwstr>
  </property>
</Properties>
</file>